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A5" w:rsidRPr="00B43823" w:rsidRDefault="00F637A5" w:rsidP="00B43823">
      <w:pPr>
        <w:pStyle w:val="aa"/>
        <w:jc w:val="right"/>
        <w:rPr>
          <w:sz w:val="28"/>
          <w:szCs w:val="28"/>
        </w:rPr>
      </w:pPr>
      <w:r w:rsidRPr="00B43823">
        <w:rPr>
          <w:sz w:val="28"/>
          <w:szCs w:val="28"/>
        </w:rPr>
        <w:t>ПРИЛОЖЕНИЕ 1</w:t>
      </w:r>
    </w:p>
    <w:p w:rsidR="00F637A5" w:rsidRPr="00B43823" w:rsidRDefault="00F637A5" w:rsidP="00B43823">
      <w:pPr>
        <w:pStyle w:val="aa"/>
        <w:jc w:val="right"/>
        <w:rPr>
          <w:sz w:val="28"/>
          <w:szCs w:val="28"/>
        </w:rPr>
      </w:pPr>
      <w:r w:rsidRPr="00B43823">
        <w:rPr>
          <w:sz w:val="28"/>
          <w:szCs w:val="28"/>
        </w:rPr>
        <w:t xml:space="preserve">                                                                 к  муниципальной программе</w:t>
      </w:r>
    </w:p>
    <w:p w:rsidR="00F637A5" w:rsidRPr="00B43823" w:rsidRDefault="00F637A5" w:rsidP="00B43823">
      <w:pPr>
        <w:pStyle w:val="aa"/>
        <w:jc w:val="right"/>
        <w:rPr>
          <w:sz w:val="28"/>
          <w:szCs w:val="28"/>
        </w:rPr>
      </w:pPr>
      <w:r w:rsidRPr="00B43823">
        <w:rPr>
          <w:sz w:val="28"/>
          <w:szCs w:val="28"/>
        </w:rPr>
        <w:t>«Обеспечение качественным жильём</w:t>
      </w:r>
    </w:p>
    <w:p w:rsidR="00F637A5" w:rsidRPr="00B43823" w:rsidRDefault="00F637A5" w:rsidP="00B43823">
      <w:pPr>
        <w:pStyle w:val="aa"/>
        <w:jc w:val="right"/>
        <w:rPr>
          <w:sz w:val="28"/>
          <w:szCs w:val="28"/>
        </w:rPr>
      </w:pPr>
      <w:r w:rsidRPr="00B43823">
        <w:rPr>
          <w:sz w:val="28"/>
          <w:szCs w:val="28"/>
        </w:rPr>
        <w:t>населения Златоустовского городского округа»</w:t>
      </w:r>
    </w:p>
    <w:p w:rsidR="00F637A5" w:rsidRPr="00B43823" w:rsidRDefault="00F637A5" w:rsidP="00B43823">
      <w:pPr>
        <w:spacing w:after="0" w:line="240" w:lineRule="auto"/>
        <w:ind w:firstLine="5928"/>
        <w:jc w:val="right"/>
        <w:rPr>
          <w:sz w:val="24"/>
          <w:szCs w:val="24"/>
        </w:rPr>
      </w:pPr>
    </w:p>
    <w:p w:rsidR="00F637A5" w:rsidRPr="00B43823" w:rsidRDefault="00F637A5" w:rsidP="00B43823">
      <w:pPr>
        <w:spacing w:after="0" w:line="240" w:lineRule="auto"/>
        <w:ind w:firstLine="6384"/>
        <w:jc w:val="right"/>
        <w:rPr>
          <w:sz w:val="28"/>
          <w:szCs w:val="28"/>
        </w:rPr>
      </w:pPr>
    </w:p>
    <w:p w:rsidR="00F637A5" w:rsidRPr="00B43823" w:rsidRDefault="00F637A5" w:rsidP="00B43823">
      <w:pPr>
        <w:spacing w:after="0" w:line="240" w:lineRule="auto"/>
        <w:ind w:firstLine="709"/>
        <w:jc w:val="both"/>
        <w:rPr>
          <w:sz w:val="23"/>
        </w:rPr>
      </w:pPr>
    </w:p>
    <w:p w:rsidR="00F637A5" w:rsidRPr="00B43823" w:rsidRDefault="00F637A5" w:rsidP="00B43823">
      <w:pPr>
        <w:spacing w:after="0" w:line="240" w:lineRule="auto"/>
        <w:ind w:firstLine="709"/>
        <w:jc w:val="both"/>
        <w:rPr>
          <w:sz w:val="23"/>
        </w:rPr>
      </w:pPr>
    </w:p>
    <w:p w:rsidR="00B43823" w:rsidRPr="00B43823" w:rsidRDefault="00B43823" w:rsidP="00B43823">
      <w:pPr>
        <w:spacing w:after="0" w:line="240" w:lineRule="auto"/>
        <w:ind w:firstLine="709"/>
        <w:jc w:val="both"/>
        <w:rPr>
          <w:sz w:val="23"/>
        </w:rPr>
      </w:pPr>
    </w:p>
    <w:p w:rsidR="00B43823" w:rsidRPr="00B43823" w:rsidRDefault="00B43823" w:rsidP="00B43823">
      <w:pPr>
        <w:spacing w:after="0" w:line="240" w:lineRule="auto"/>
        <w:ind w:firstLine="709"/>
        <w:jc w:val="both"/>
        <w:rPr>
          <w:sz w:val="23"/>
        </w:rPr>
      </w:pPr>
    </w:p>
    <w:p w:rsidR="00F637A5" w:rsidRPr="00B43823" w:rsidRDefault="00F637A5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rFonts w:asciiTheme="minorHAnsi" w:eastAsiaTheme="minorHAnsi" w:hAnsiTheme="minorHAnsi" w:cstheme="minorBidi"/>
          <w:kern w:val="0"/>
          <w:sz w:val="23"/>
          <w:szCs w:val="22"/>
          <w:lang w:eastAsia="en-US"/>
        </w:rPr>
      </w:pPr>
    </w:p>
    <w:p w:rsidR="00B43823" w:rsidRPr="00B43823" w:rsidRDefault="00B43823" w:rsidP="00B43823">
      <w:pPr>
        <w:pStyle w:val="ac"/>
        <w:suppressLineNumbers w:val="0"/>
        <w:suppressAutoHyphens w:val="0"/>
        <w:outlineLvl w:val="0"/>
        <w:rPr>
          <w:caps/>
          <w:kern w:val="0"/>
        </w:rPr>
      </w:pP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B43823">
        <w:rPr>
          <w:rFonts w:ascii="Times New Roman" w:hAnsi="Times New Roman" w:cs="Times New Roman"/>
          <w:caps/>
          <w:sz w:val="28"/>
          <w:szCs w:val="28"/>
        </w:rPr>
        <w:t>Подпрограмма</w:t>
      </w: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B43823">
        <w:rPr>
          <w:rFonts w:ascii="Times New Roman" w:hAnsi="Times New Roman" w:cs="Times New Roman"/>
          <w:caps/>
          <w:sz w:val="28"/>
          <w:szCs w:val="28"/>
        </w:rPr>
        <w:t>«Подготовка земельных участков для освоения</w:t>
      </w: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B43823">
        <w:rPr>
          <w:rFonts w:ascii="Times New Roman" w:hAnsi="Times New Roman" w:cs="Times New Roman"/>
          <w:caps/>
          <w:sz w:val="28"/>
          <w:szCs w:val="28"/>
        </w:rPr>
        <w:t>в целях жилищного строительства»</w:t>
      </w: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caps/>
          <w:sz w:val="28"/>
          <w:szCs w:val="28"/>
        </w:rPr>
      </w:pPr>
    </w:p>
    <w:p w:rsidR="00F637A5" w:rsidRPr="00B43823" w:rsidRDefault="00F637A5" w:rsidP="00B43823">
      <w:pPr>
        <w:spacing w:after="0" w:line="240" w:lineRule="auto"/>
        <w:outlineLvl w:val="0"/>
        <w:rPr>
          <w:caps/>
          <w:sz w:val="26"/>
        </w:rPr>
      </w:pP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B43823" w:rsidRPr="00B43823" w:rsidRDefault="00B43823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F637A5" w:rsidRPr="00B43823" w:rsidRDefault="00F637A5" w:rsidP="00B43823">
      <w:pPr>
        <w:spacing w:after="0" w:line="240" w:lineRule="auto"/>
        <w:jc w:val="center"/>
        <w:outlineLvl w:val="0"/>
        <w:rPr>
          <w:caps/>
          <w:sz w:val="26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B43823" w:rsidRPr="00B43823" w:rsidRDefault="00B43823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sz w:val="28"/>
        </w:rPr>
      </w:pPr>
    </w:p>
    <w:p w:rsidR="00F637A5" w:rsidRPr="00B43823" w:rsidRDefault="00F637A5" w:rsidP="00B438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3823">
        <w:rPr>
          <w:rFonts w:ascii="Times New Roman" w:hAnsi="Times New Roman" w:cs="Times New Roman"/>
          <w:sz w:val="28"/>
        </w:rPr>
        <w:t>г. Златоуст</w:t>
      </w:r>
    </w:p>
    <w:p w:rsidR="00686B8B" w:rsidRPr="00B43823" w:rsidRDefault="00686B8B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7A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382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«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земельных участков для освоения в целях жилищного строительства</w:t>
      </w:r>
      <w:r w:rsidR="00B4382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F4496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одпрограмма)</w:t>
      </w:r>
    </w:p>
    <w:p w:rsidR="002350E3" w:rsidRPr="00B43823" w:rsidRDefault="002350E3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6981"/>
      </w:tblGrid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7A5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r w:rsidR="0091506C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Златоустовского городского округа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3823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имуществом Златоустовского городского округа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градо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строительного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регулирования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строительную отрасль.</w:t>
            </w:r>
          </w:p>
          <w:p w:rsidR="002350E3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Опережающее обеспечение земельных участков объектами коммунальной инфраструктуры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увеличения объемов жилищного строительства.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градостроительно</w:t>
            </w:r>
            <w:r w:rsidR="008E19D1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документации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Златоустовского городского округа (генеральн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правил землепользования и застройки, </w:t>
            </w:r>
            <w:r w:rsidR="002043FD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генеральный план и правила землепользования и застройки</w:t>
            </w:r>
            <w:r w:rsidR="0049741A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 планировки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межевания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территорий).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строительства.</w:t>
            </w:r>
          </w:p>
          <w:p w:rsidR="002350E3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Привлечение внебюджетных источников в сферу жилищного строительства.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E61" w:rsidRPr="00B43823" w:rsidRDefault="00686B8B" w:rsidP="00B4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r w:rsidR="00D84E61" w:rsidRPr="00B43823">
              <w:rPr>
                <w:rFonts w:ascii="Times New Roman" w:hAnsi="Times New Roman" w:cs="Times New Roman"/>
                <w:sz w:val="28"/>
                <w:szCs w:val="28"/>
              </w:rPr>
              <w:t>ввод жилья</w:t>
            </w:r>
            <w:r w:rsidR="00F4496B" w:rsidRPr="00B438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1"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метров</w:t>
            </w:r>
            <w:r w:rsidR="00F4496B" w:rsidRPr="00B438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E61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площадь земельных участков, предоставленных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D84E61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аукционах, для жилищного строительстваи ведения личного подсобного хозяйства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а;</w:t>
            </w:r>
          </w:p>
          <w:p w:rsidR="005A090C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 количество разработанных проектов планировки </w:t>
            </w:r>
            <w:r w:rsidR="00B4382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межевания территории</w:t>
            </w:r>
            <w:r w:rsidR="00F4496B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ед.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4476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A429D1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финансовых ресурсов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подпрограммы в 20</w:t>
            </w:r>
            <w:r w:rsidR="00C4476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 w:rsidR="00A429D1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годах: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C4476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6365,</w:t>
            </w:r>
            <w:r w:rsidR="002350E3" w:rsidRPr="00B4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 за счёт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бюджета - 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6365,</w:t>
            </w:r>
            <w:r w:rsidR="002350E3" w:rsidRPr="00B4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финансирования подпрограммы в 2025 году: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- 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6365,</w:t>
            </w:r>
            <w:r w:rsidR="002350E3" w:rsidRPr="00B4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 за счёт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бюджета - 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6365,</w:t>
            </w:r>
            <w:r w:rsidR="002350E3" w:rsidRPr="00B4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DB8" w:rsidRPr="00B438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подпрограммы в 2026 году: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- 0,0</w:t>
            </w:r>
            <w:r w:rsidR="00792DB8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за счёт</w:t>
            </w:r>
          </w:p>
          <w:p w:rsidR="00686B8B" w:rsidRPr="00B43823" w:rsidRDefault="00686B8B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бюджета - 0,0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C44763" w:rsidRPr="00B43823" w:rsidRDefault="00C44763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3" w:rsidRPr="00B43823" w:rsidRDefault="00C44763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подпрограммы в 202</w:t>
            </w:r>
            <w:r w:rsidR="00CD0533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C44763" w:rsidRPr="00B43823" w:rsidRDefault="00C44763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- 0,0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за счёт</w:t>
            </w:r>
          </w:p>
          <w:p w:rsidR="00C44763" w:rsidRPr="00B43823" w:rsidRDefault="00C44763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бюджета - 0,0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A429D1" w:rsidRPr="00B43823" w:rsidRDefault="00A429D1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9D1" w:rsidRPr="00B43823" w:rsidRDefault="00A429D1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подпрограммы в 202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A429D1" w:rsidRPr="00B43823" w:rsidRDefault="00A429D1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- 0,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рублей, в том числе за счёт</w:t>
            </w:r>
          </w:p>
          <w:p w:rsidR="00707EB4" w:rsidRPr="00B43823" w:rsidRDefault="00A429D1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бюджета - 0,</w:t>
            </w:r>
            <w:r w:rsidR="00B16502"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</w:tc>
      </w:tr>
      <w:tr w:rsidR="00B43823" w:rsidRPr="00B43823" w:rsidTr="00B43823">
        <w:trPr>
          <w:jc w:val="center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7A5" w:rsidRPr="00B43823" w:rsidRDefault="00686B8B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B8B" w:rsidRPr="00B43823" w:rsidRDefault="002265C9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жилищного строительства </w:t>
            </w:r>
            <w:r w:rsidR="00B43823" w:rsidRPr="00B438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90579" w:rsidRPr="00B43823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  <w:r w:rsidRPr="00B43823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метров</w:t>
            </w:r>
          </w:p>
        </w:tc>
      </w:tr>
    </w:tbl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7A5" w:rsidRPr="00B43823" w:rsidRDefault="00F637A5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8B" w:rsidRPr="00B43823" w:rsidRDefault="00686B8B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Характеристика сферы реализации </w:t>
      </w:r>
      <w:r w:rsidR="0091506C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одпрограммы, описание основных проблем в указанной сфере</w:t>
      </w:r>
    </w:p>
    <w:p w:rsidR="008E56CD" w:rsidRPr="00B43823" w:rsidRDefault="008E56CD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EB4" w:rsidRPr="00B43823" w:rsidRDefault="00B43823" w:rsidP="00B43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B264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07EB4" w:rsidRPr="00B43823">
        <w:rPr>
          <w:rFonts w:ascii="Times New Roman" w:hAnsi="Times New Roman" w:cs="Times New Roman"/>
          <w:sz w:val="28"/>
          <w:szCs w:val="28"/>
        </w:rPr>
        <w:t>подпрограмм</w:t>
      </w:r>
      <w:r w:rsidR="00FB2645" w:rsidRPr="00B438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учтены положения </w:t>
      </w:r>
      <w:hyperlink r:id="rId7" w:anchor="/document/71849506/entry/1000" w:history="1">
        <w:r w:rsidR="00707EB4" w:rsidRPr="00B438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="00707EB4" w:rsidRPr="00B43823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жильем </w:t>
      </w:r>
      <w:r>
        <w:rPr>
          <w:rFonts w:ascii="Times New Roman" w:hAnsi="Times New Roman" w:cs="Times New Roman"/>
          <w:sz w:val="28"/>
          <w:szCs w:val="28"/>
        </w:rPr>
        <w:br/>
      </w:r>
      <w:r w:rsidR="00707EB4" w:rsidRPr="00B43823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</w:t>
      </w:r>
      <w:hyperlink r:id="rId8" w:anchor="/document/71849506/entry/0" w:history="1">
        <w:r w:rsidR="00707EB4" w:rsidRPr="00B438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707EB4" w:rsidRPr="00B4382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30.12.2017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707EB4" w:rsidRPr="00B43823">
        <w:rPr>
          <w:rFonts w:ascii="Times New Roman" w:hAnsi="Times New Roman" w:cs="Times New Roman"/>
          <w:sz w:val="28"/>
          <w:szCs w:val="28"/>
        </w:rPr>
        <w:t>1710, направленной на:</w:t>
      </w:r>
    </w:p>
    <w:p w:rsidR="00707EB4" w:rsidRPr="00B43823" w:rsidRDefault="00B43823" w:rsidP="00B4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07EB4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рынка земельных участков, обеспеченных градостроительной документацией (разработка проектов планировки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7EB4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межевания территорий);</w:t>
      </w:r>
    </w:p>
    <w:p w:rsidR="00707EB4" w:rsidRPr="00B43823" w:rsidRDefault="00B43823" w:rsidP="00B4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07EB4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инженерной, коммунальной и транспортной инфраструктурами участков жилищного строительства;</w:t>
      </w:r>
    </w:p>
    <w:p w:rsidR="00707EB4" w:rsidRPr="00B43823" w:rsidRDefault="00B43823" w:rsidP="00B438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07EB4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жилищное строительство неиспользуемых или используемых неэффективно государственных и муниципальных земельных участков.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проблемами в сфере жилищного строительства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Златоустовском городском округе (далее - округ) продолжают оставаться: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отсутствие в достаточном количестве земельных участков, обустроенных коммунальной инфраструктурой, механизмов привлечения частных инвестиционных и кредитных ресурсов в жилищное строительство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модернизацию коммунальной инфраструктуры;</w:t>
      </w:r>
    </w:p>
    <w:p w:rsidR="00686B8B" w:rsidRPr="00B43823" w:rsidRDefault="00B4382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«непрозрачные»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обременительные для застройщика условия присоединения к системам коммунальной инфраструктуры.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стабилизации цен на рынке жилья.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территориального планирования округа определяют концепцию развития территории в целом, с учетом создания необходимой инфраструктуры, жилого, промышленного и иного строительства, развитие рекреационных территорий, намечают технико-экономические показатели, определяющие план развития на ближайшие 20лет. На основании документов территориального планирования необходима разработка конкретных целевых программ и проектов по освоению важных для округа территорий.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активно развиваются и функционируют механизмы финансирования и реализации инвестиционных проектов комплексного освоения территорий. Банковский сектор не имеет кредитных инструментов, позволяющих с приемлемым уровнем риска финансировать данные проекты. 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источника финансирования затрат органов местного самоуправления по строительству или приобретению объектов инфраструктуры </w:t>
      </w:r>
      <w:r w:rsidR="00FB264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рассматриваться механизм ипотеки земельных участков. Длительность рассрочки, обеспечиваемой ипотечным кредитованием, позволит во многом решить проблему текущего дефицита местных бюджетов.</w:t>
      </w:r>
    </w:p>
    <w:p w:rsidR="002350E3" w:rsidRPr="00B43823" w:rsidRDefault="002350E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2022 – 2025 гг. в рамках действующей подпрограммы разработан и утвержден Генеральный план и Правила землепользования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застройки Златоустовского городского округа, внесены изменения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Генеральный план и Правила землепользования и застройки Златоустовского городского округа (в соответствии с изменениями в Градостроительном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Земельном кодексах Российской Федерации); разработаны проекты планировки и межевания территорий: </w:t>
      </w:r>
      <w:r w:rsidRPr="00B43823">
        <w:rPr>
          <w:rFonts w:ascii="Times New Roman" w:hAnsi="Times New Roman" w:cs="Times New Roman"/>
          <w:sz w:val="28"/>
          <w:szCs w:val="28"/>
        </w:rPr>
        <w:t xml:space="preserve">квартала «Уржумский», </w:t>
      </w:r>
      <w:r w:rsidRPr="00B438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3823">
        <w:rPr>
          <w:rFonts w:ascii="Times New Roman" w:hAnsi="Times New Roman" w:cs="Times New Roman"/>
          <w:sz w:val="28"/>
          <w:szCs w:val="28"/>
        </w:rPr>
        <w:t xml:space="preserve"> и </w:t>
      </w:r>
      <w:r w:rsidRPr="00B438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43823">
        <w:rPr>
          <w:rFonts w:ascii="Times New Roman" w:hAnsi="Times New Roman" w:cs="Times New Roman"/>
          <w:sz w:val="28"/>
          <w:szCs w:val="28"/>
        </w:rPr>
        <w:t xml:space="preserve"> кварталов района Северо-Запад, район квартала Южноуральский, для строительства линейных объектов «Газоснабжение жилых домов», в районе территории улиц: Октябрьская, им.Г.В.Плеханова, им.М.А.Аникеева, им.В.И.Ленина, </w:t>
      </w:r>
      <w:r w:rsidR="00B43823">
        <w:rPr>
          <w:rFonts w:ascii="Times New Roman" w:hAnsi="Times New Roman" w:cs="Times New Roman"/>
          <w:sz w:val="28"/>
          <w:szCs w:val="28"/>
        </w:rPr>
        <w:br/>
      </w:r>
      <w:r w:rsidRPr="00B43823">
        <w:rPr>
          <w:rFonts w:ascii="Times New Roman" w:hAnsi="Times New Roman" w:cs="Times New Roman"/>
          <w:sz w:val="28"/>
          <w:szCs w:val="28"/>
        </w:rPr>
        <w:t xml:space="preserve">им.И.Н.Бушуева; 2-я Тесьминская, 3-я Тесьминская, им.П.П.Аносова; </w:t>
      </w:r>
      <w:r w:rsidR="00B43823">
        <w:rPr>
          <w:rFonts w:ascii="Times New Roman" w:hAnsi="Times New Roman" w:cs="Times New Roman"/>
          <w:sz w:val="28"/>
          <w:szCs w:val="28"/>
        </w:rPr>
        <w:br/>
      </w:r>
      <w:r w:rsidRPr="00B43823">
        <w:rPr>
          <w:rFonts w:ascii="Times New Roman" w:hAnsi="Times New Roman" w:cs="Times New Roman"/>
          <w:sz w:val="28"/>
          <w:szCs w:val="28"/>
        </w:rPr>
        <w:t>им.С.М.Кирова, ул.Техническая, ул.Генераторная; район Демидовки, основных и магистральных улиц г. Златоуста.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системных проблем в вопросах развития округа и обеспечения земельных участков коммунальной инфраструктурой в целях жилищного строительства требует программно-целевых действий для их решения. Реализация такого подхода позволит увеличить объемы жилищного строительства, создать условия для обеспечения земельных участков объектами коммунальной инфраструктуры.</w:t>
      </w:r>
    </w:p>
    <w:p w:rsidR="006A210A" w:rsidRPr="00B43823" w:rsidRDefault="006A210A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E07" w:rsidRPr="00B43823" w:rsidRDefault="00026E07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E07" w:rsidRPr="00B43823" w:rsidRDefault="00026E07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8B" w:rsidRPr="00B43823" w:rsidRDefault="00686B8B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Приоритеты муниципальной политики в сфере реализации</w:t>
      </w:r>
      <w:r w:rsidR="0091506C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цели, задачи и </w:t>
      </w:r>
      <w:r w:rsidR="00D7232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 достижения целей и решения задач, описание основных ожидаемыхрезультатов </w:t>
      </w:r>
      <w:r w:rsidR="0091506C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одпрограммы, сроков и контрольных этапов реализации </w:t>
      </w:r>
      <w:r w:rsidR="0091506C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</w:t>
      </w:r>
    </w:p>
    <w:p w:rsidR="008E56CD" w:rsidRPr="00B43823" w:rsidRDefault="008E56CD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8B" w:rsidRPr="00B43823" w:rsidRDefault="00B4382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Приоритетами </w:t>
      </w:r>
      <w:r w:rsidR="00C07E1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(целями) 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политики в сфере реализации подпрограммы является: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развитие системы градо</w:t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строительного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строительную отрасль;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опережающее обеспечение земельных участков объектами коммунальной инфраструктуры для увеличения объемов жилищного строительства.</w:t>
      </w:r>
    </w:p>
    <w:p w:rsidR="00686B8B" w:rsidRPr="00B43823" w:rsidRDefault="00B4382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достижения поставленн</w:t>
      </w:r>
      <w:r w:rsidR="00C07E1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C07E15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следующие задачи: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подготовка градостроительно</w:t>
      </w:r>
      <w:r w:rsidR="0091506C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6011A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12AA8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окументации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(генеральн</w:t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землепользования и застройки, </w:t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генеральный план и правила землепользования 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застройки, 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планировки </w:t>
      </w:r>
      <w:r w:rsidR="007072A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межевания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территорий);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</w:r>
    </w:p>
    <w:p w:rsidR="00686B8B" w:rsidRPr="00B43823" w:rsidRDefault="00686B8B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привлечение внебюджетных источников в сферу жилищного строительства.</w:t>
      </w:r>
    </w:p>
    <w:p w:rsidR="00127D90" w:rsidRPr="00B43823" w:rsidRDefault="00B43823" w:rsidP="00B438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127D90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данной </w:t>
      </w:r>
      <w:r w:rsidR="00D7232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7D90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планируется достижение следующих целевых индикаторов: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1216"/>
        <w:gridCol w:w="1080"/>
        <w:gridCol w:w="1351"/>
        <w:gridCol w:w="1215"/>
        <w:gridCol w:w="1215"/>
      </w:tblGrid>
      <w:tr w:rsidR="00B43823" w:rsidRPr="00B43823" w:rsidTr="00B43823">
        <w:trPr>
          <w:jc w:val="center"/>
        </w:trPr>
        <w:tc>
          <w:tcPr>
            <w:tcW w:w="3721" w:type="dxa"/>
            <w:tcBorders>
              <w:bottom w:val="single" w:sz="6" w:space="0" w:color="000000"/>
            </w:tcBorders>
            <w:hideMark/>
          </w:tcPr>
          <w:p w:rsidR="00B43823" w:rsidRPr="00B43823" w:rsidRDefault="00B43823" w:rsidP="00B438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  <w:vAlign w:val="center"/>
            <w:hideMark/>
          </w:tcPr>
          <w:p w:rsidR="00B43823" w:rsidRPr="00B43823" w:rsidRDefault="00B43823" w:rsidP="00B438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B43823" w:rsidRPr="00B43823" w:rsidRDefault="00B43823" w:rsidP="00B4382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B43823" w:rsidRPr="00B43823" w:rsidTr="00B43823">
        <w:trPr>
          <w:trHeight w:val="240"/>
          <w:jc w:val="center"/>
        </w:trPr>
        <w:tc>
          <w:tcPr>
            <w:tcW w:w="3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индикативных показателей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показатели подпрограммы</w:t>
            </w:r>
          </w:p>
        </w:tc>
      </w:tr>
      <w:tr w:rsidR="00B43823" w:rsidRPr="00B43823" w:rsidTr="00B43823">
        <w:trPr>
          <w:jc w:val="center"/>
        </w:trPr>
        <w:tc>
          <w:tcPr>
            <w:tcW w:w="3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43823" w:rsidRPr="00B43823" w:rsidTr="00B43823">
        <w:trPr>
          <w:jc w:val="center"/>
        </w:trPr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</w:t>
            </w:r>
            <w:r w:rsidRPr="00B43823">
              <w:rPr>
                <w:rFonts w:ascii="Times New Roman" w:hAnsi="Times New Roman" w:cs="Times New Roman"/>
                <w:sz w:val="24"/>
                <w:szCs w:val="24"/>
              </w:rPr>
              <w:t>вод жилья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hAnsi="Times New Roman" w:cs="Times New Roman"/>
                <w:sz w:val="24"/>
                <w:szCs w:val="24"/>
              </w:rPr>
              <w:t>тыс. кв. метров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579" w:rsidRPr="00B43823" w:rsidRDefault="00AA78C6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B43823" w:rsidRPr="00B43823" w:rsidTr="00B43823">
        <w:trPr>
          <w:jc w:val="center"/>
        </w:trPr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2DB8" w:rsidRPr="00B43823" w:rsidRDefault="00B43823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792DB8"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земельных участков, предоставленных на аукционах, для жилищного строительства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92DB8"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ведения личного подсобного хозяйства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975831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43823" w:rsidRPr="00B43823" w:rsidTr="00B43823">
        <w:trPr>
          <w:jc w:val="center"/>
        </w:trPr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2DB8" w:rsidRPr="00B43823" w:rsidRDefault="00792DB8" w:rsidP="00B4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Количество разработанных проектов планировки </w:t>
            </w:r>
            <w:r w:rsid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межевания территории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AA78C6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DB8" w:rsidRPr="00B43823" w:rsidRDefault="00792DB8" w:rsidP="00B4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E56CD" w:rsidRPr="00B43823" w:rsidRDefault="008E56CD" w:rsidP="00B43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44F" w:rsidRPr="00B43823" w:rsidRDefault="008E56CD" w:rsidP="00B43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144F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Реализация подпрограммы приведет к достижению следующего ожидаемого результата:</w:t>
      </w:r>
      <w:r w:rsidR="002265C9" w:rsidRPr="00B43823">
        <w:rPr>
          <w:rFonts w:ascii="Times New Roman" w:hAnsi="Times New Roman" w:cs="Times New Roman"/>
          <w:sz w:val="28"/>
          <w:szCs w:val="28"/>
        </w:rPr>
        <w:t xml:space="preserve">увеличение объема жилищного строительства </w:t>
      </w:r>
      <w:r w:rsidR="00B43823">
        <w:rPr>
          <w:rFonts w:ascii="Times New Roman" w:hAnsi="Times New Roman" w:cs="Times New Roman"/>
          <w:sz w:val="28"/>
          <w:szCs w:val="28"/>
        </w:rPr>
        <w:br/>
      </w:r>
      <w:r w:rsidR="002265C9" w:rsidRPr="00B43823">
        <w:rPr>
          <w:rFonts w:ascii="Times New Roman" w:hAnsi="Times New Roman" w:cs="Times New Roman"/>
          <w:sz w:val="28"/>
          <w:szCs w:val="28"/>
        </w:rPr>
        <w:t xml:space="preserve">на </w:t>
      </w:r>
      <w:r w:rsidR="00690579" w:rsidRPr="00B43823">
        <w:rPr>
          <w:rFonts w:ascii="Times New Roman" w:hAnsi="Times New Roman" w:cs="Times New Roman"/>
          <w:sz w:val="28"/>
          <w:szCs w:val="28"/>
        </w:rPr>
        <w:t>125,3</w:t>
      </w:r>
      <w:r w:rsidR="002265C9" w:rsidRPr="00B43823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A6144F" w:rsidRPr="00B43823">
        <w:rPr>
          <w:rFonts w:ascii="Times New Roman" w:hAnsi="Times New Roman" w:cs="Times New Roman"/>
          <w:sz w:val="28"/>
          <w:szCs w:val="28"/>
        </w:rPr>
        <w:t>.</w:t>
      </w:r>
    </w:p>
    <w:p w:rsidR="00D640E3" w:rsidRPr="00B43823" w:rsidRDefault="008E56CD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640E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40E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одпрограммы: 2025-202</w:t>
      </w:r>
      <w:r w:rsidR="00792DB8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40E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D640E3" w:rsidRPr="00B43823" w:rsidRDefault="008E56CD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640E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носит постоянный характер.В силу постоянного характера решаемых в рамках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40E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задач, выделение отдельных этапов ее реализации не предусматривается.</w:t>
      </w:r>
    </w:p>
    <w:p w:rsidR="00690579" w:rsidRPr="00B43823" w:rsidRDefault="00690579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8B" w:rsidRPr="00B43823" w:rsidRDefault="00686B8B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Характеристика мероприятий </w:t>
      </w:r>
      <w:r w:rsidR="008E56CD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</w:t>
      </w:r>
    </w:p>
    <w:p w:rsidR="008E56CD" w:rsidRPr="00B43823" w:rsidRDefault="008E56CD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8B" w:rsidRPr="00B43823" w:rsidRDefault="008E56CD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564926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представлен в </w:t>
      </w:r>
      <w:hyperlink r:id="rId9" w:anchor="/document/405778971/entry/1104" w:history="1">
        <w:r w:rsidR="00564926" w:rsidRPr="00B438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V</w:t>
        </w:r>
      </w:hyperlink>
      <w:r w:rsidR="00564926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86B8B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E07" w:rsidRPr="00B43823" w:rsidRDefault="00026E07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823" w:rsidRDefault="00686B8B" w:rsidP="00B4382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43823">
        <w:rPr>
          <w:sz w:val="28"/>
          <w:szCs w:val="28"/>
        </w:rPr>
        <w:t xml:space="preserve">IV. Информация об участии предприятий и организаций, независимо </w:t>
      </w:r>
    </w:p>
    <w:p w:rsidR="00686B8B" w:rsidRPr="00B43823" w:rsidRDefault="00686B8B" w:rsidP="00B4382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43823">
        <w:rPr>
          <w:sz w:val="28"/>
          <w:szCs w:val="28"/>
        </w:rPr>
        <w:t xml:space="preserve">от их организационно-правовой формы собственности, </w:t>
      </w:r>
      <w:r w:rsidR="00B43823">
        <w:rPr>
          <w:sz w:val="28"/>
          <w:szCs w:val="28"/>
        </w:rPr>
        <w:br/>
      </w:r>
      <w:r w:rsidRPr="00B43823">
        <w:rPr>
          <w:sz w:val="28"/>
          <w:szCs w:val="28"/>
        </w:rPr>
        <w:t xml:space="preserve">а так же внебюджетных фондов, в реализации </w:t>
      </w:r>
      <w:r w:rsidR="008E56CD" w:rsidRPr="00B43823">
        <w:rPr>
          <w:sz w:val="28"/>
          <w:szCs w:val="28"/>
        </w:rPr>
        <w:t>п</w:t>
      </w:r>
      <w:r w:rsidRPr="00B43823">
        <w:rPr>
          <w:sz w:val="28"/>
          <w:szCs w:val="28"/>
        </w:rPr>
        <w:t>одпрограммы</w:t>
      </w:r>
    </w:p>
    <w:p w:rsidR="008E56CD" w:rsidRPr="00B43823" w:rsidRDefault="008E56CD" w:rsidP="00B4382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17F" w:rsidRPr="00B43823" w:rsidRDefault="008E56CD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43823">
        <w:rPr>
          <w:sz w:val="28"/>
          <w:szCs w:val="28"/>
        </w:rPr>
        <w:t>9</w:t>
      </w:r>
      <w:r w:rsidR="00B43823">
        <w:rPr>
          <w:sz w:val="28"/>
          <w:szCs w:val="28"/>
        </w:rPr>
        <w:t>. </w:t>
      </w:r>
      <w:r w:rsidR="007C317F" w:rsidRPr="00B43823">
        <w:rPr>
          <w:sz w:val="28"/>
          <w:szCs w:val="28"/>
        </w:rPr>
        <w:t xml:space="preserve">Участие предприятий и организаций, независимо </w:t>
      </w:r>
      <w:r w:rsidR="00B43823">
        <w:rPr>
          <w:sz w:val="28"/>
          <w:szCs w:val="28"/>
        </w:rPr>
        <w:br/>
      </w:r>
      <w:r w:rsidR="007C317F" w:rsidRPr="00B43823">
        <w:rPr>
          <w:sz w:val="28"/>
          <w:szCs w:val="28"/>
        </w:rPr>
        <w:t>от их организационно-правовой формы собственности, а также внебюджетных фондов, в реализации</w:t>
      </w:r>
      <w:r w:rsidR="00026E07" w:rsidRPr="00B43823">
        <w:rPr>
          <w:sz w:val="28"/>
          <w:szCs w:val="28"/>
        </w:rPr>
        <w:t xml:space="preserve"> п</w:t>
      </w:r>
      <w:r w:rsidR="007C317F" w:rsidRPr="00B43823">
        <w:rPr>
          <w:sz w:val="28"/>
          <w:szCs w:val="28"/>
        </w:rPr>
        <w:t>одпрограммы не предусмотрено</w:t>
      </w:r>
      <w:r w:rsidR="007C317F" w:rsidRPr="00B43823">
        <w:t>.</w:t>
      </w:r>
    </w:p>
    <w:p w:rsidR="00BF2699" w:rsidRPr="00B43823" w:rsidRDefault="00BF2699" w:rsidP="00B4382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86B8B" w:rsidRPr="00B43823" w:rsidRDefault="00686B8B" w:rsidP="00B4382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43823">
        <w:rPr>
          <w:sz w:val="28"/>
          <w:szCs w:val="28"/>
        </w:rPr>
        <w:t xml:space="preserve">V. Обоснование объема финансовых ресурсов, необходимых </w:t>
      </w:r>
      <w:r w:rsidR="00B43823">
        <w:rPr>
          <w:sz w:val="28"/>
          <w:szCs w:val="28"/>
        </w:rPr>
        <w:br/>
      </w:r>
      <w:r w:rsidRPr="00B43823">
        <w:rPr>
          <w:sz w:val="28"/>
          <w:szCs w:val="28"/>
        </w:rPr>
        <w:t xml:space="preserve">для реализации </w:t>
      </w:r>
      <w:r w:rsidR="00BF2699" w:rsidRPr="00B43823">
        <w:rPr>
          <w:sz w:val="28"/>
          <w:szCs w:val="28"/>
        </w:rPr>
        <w:t>п</w:t>
      </w:r>
      <w:r w:rsidRPr="00B43823">
        <w:rPr>
          <w:sz w:val="28"/>
          <w:szCs w:val="28"/>
        </w:rPr>
        <w:t>одпрограммы</w:t>
      </w:r>
    </w:p>
    <w:p w:rsidR="00BF2699" w:rsidRPr="00B43823" w:rsidRDefault="00BF2699" w:rsidP="00B43823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86B8B" w:rsidRPr="00B43823" w:rsidRDefault="008E56CD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823">
        <w:rPr>
          <w:sz w:val="28"/>
          <w:szCs w:val="28"/>
        </w:rPr>
        <w:t>10</w:t>
      </w:r>
      <w:r w:rsidR="00B43823">
        <w:rPr>
          <w:sz w:val="28"/>
          <w:szCs w:val="28"/>
        </w:rPr>
        <w:t>. </w:t>
      </w:r>
      <w:r w:rsidR="00686B8B" w:rsidRPr="00B43823">
        <w:rPr>
          <w:sz w:val="28"/>
          <w:szCs w:val="28"/>
        </w:rPr>
        <w:t>Общий объем финансирования в 20</w:t>
      </w:r>
      <w:r w:rsidR="00CD0533" w:rsidRPr="00B43823">
        <w:rPr>
          <w:sz w:val="28"/>
          <w:szCs w:val="28"/>
        </w:rPr>
        <w:t>25</w:t>
      </w:r>
      <w:r w:rsidR="00686B8B" w:rsidRPr="00B43823">
        <w:rPr>
          <w:sz w:val="28"/>
          <w:szCs w:val="28"/>
        </w:rPr>
        <w:t>-202</w:t>
      </w:r>
      <w:r w:rsidR="00A429D1" w:rsidRPr="00B43823">
        <w:rPr>
          <w:sz w:val="28"/>
          <w:szCs w:val="28"/>
        </w:rPr>
        <w:t>8</w:t>
      </w:r>
      <w:r w:rsidR="00686B8B" w:rsidRPr="00B43823">
        <w:rPr>
          <w:sz w:val="28"/>
          <w:szCs w:val="28"/>
        </w:rPr>
        <w:t xml:space="preserve"> годах составляет </w:t>
      </w:r>
      <w:r w:rsidR="00B43823">
        <w:rPr>
          <w:sz w:val="28"/>
          <w:szCs w:val="28"/>
        </w:rPr>
        <w:br/>
      </w:r>
      <w:r w:rsidR="00792DB8" w:rsidRPr="00B43823">
        <w:rPr>
          <w:sz w:val="28"/>
          <w:szCs w:val="28"/>
        </w:rPr>
        <w:t>6365,</w:t>
      </w:r>
      <w:r w:rsidR="005A090C" w:rsidRPr="00B43823">
        <w:rPr>
          <w:sz w:val="28"/>
          <w:szCs w:val="28"/>
        </w:rPr>
        <w:t>4</w:t>
      </w:r>
      <w:r w:rsidR="00792DB8" w:rsidRPr="00B43823">
        <w:rPr>
          <w:sz w:val="28"/>
          <w:szCs w:val="28"/>
        </w:rPr>
        <w:t xml:space="preserve">0 </w:t>
      </w:r>
      <w:r w:rsidR="00686B8B" w:rsidRPr="00B43823">
        <w:rPr>
          <w:sz w:val="28"/>
          <w:szCs w:val="28"/>
        </w:rPr>
        <w:t>тыс. рублей, в том числе з</w:t>
      </w:r>
      <w:r w:rsidR="00B43823">
        <w:rPr>
          <w:sz w:val="28"/>
          <w:szCs w:val="28"/>
        </w:rPr>
        <w:t xml:space="preserve">а счет средств местного бюджета - </w:t>
      </w:r>
      <w:r w:rsidR="00B43823">
        <w:rPr>
          <w:sz w:val="28"/>
          <w:szCs w:val="28"/>
        </w:rPr>
        <w:br/>
      </w:r>
      <w:r w:rsidR="00CD0533" w:rsidRPr="00B43823">
        <w:rPr>
          <w:sz w:val="28"/>
          <w:szCs w:val="28"/>
        </w:rPr>
        <w:t>6</w:t>
      </w:r>
      <w:r w:rsidR="00792DB8" w:rsidRPr="00B43823">
        <w:rPr>
          <w:sz w:val="28"/>
          <w:szCs w:val="28"/>
        </w:rPr>
        <w:t>365</w:t>
      </w:r>
      <w:r w:rsidR="00CD0533" w:rsidRPr="00B43823">
        <w:rPr>
          <w:sz w:val="28"/>
          <w:szCs w:val="28"/>
        </w:rPr>
        <w:t>,</w:t>
      </w:r>
      <w:r w:rsidR="005A090C" w:rsidRPr="00B43823">
        <w:rPr>
          <w:sz w:val="28"/>
          <w:szCs w:val="28"/>
        </w:rPr>
        <w:t>4</w:t>
      </w:r>
      <w:r w:rsidR="00CD0533" w:rsidRPr="00B43823">
        <w:rPr>
          <w:sz w:val="28"/>
          <w:szCs w:val="28"/>
        </w:rPr>
        <w:t xml:space="preserve">0 </w:t>
      </w:r>
      <w:r w:rsidR="00686B8B" w:rsidRPr="00B43823">
        <w:rPr>
          <w:sz w:val="28"/>
          <w:szCs w:val="28"/>
        </w:rPr>
        <w:t>тыс. рублей, в том числе:</w:t>
      </w:r>
    </w:p>
    <w:p w:rsidR="00686B8B" w:rsidRPr="00B43823" w:rsidRDefault="00686B8B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823">
        <w:rPr>
          <w:sz w:val="28"/>
          <w:szCs w:val="28"/>
        </w:rPr>
        <w:t xml:space="preserve">2025 год </w:t>
      </w:r>
      <w:r w:rsidR="00B43823">
        <w:rPr>
          <w:sz w:val="28"/>
          <w:szCs w:val="28"/>
        </w:rPr>
        <w:t>-</w:t>
      </w:r>
      <w:r w:rsidR="00792DB8" w:rsidRPr="00B43823">
        <w:rPr>
          <w:sz w:val="28"/>
          <w:szCs w:val="28"/>
        </w:rPr>
        <w:t>6365,40</w:t>
      </w:r>
      <w:r w:rsidRPr="00B43823">
        <w:rPr>
          <w:sz w:val="28"/>
          <w:szCs w:val="28"/>
        </w:rPr>
        <w:t xml:space="preserve"> тыс. рублей</w:t>
      </w:r>
    </w:p>
    <w:p w:rsidR="00686B8B" w:rsidRPr="00B43823" w:rsidRDefault="00686B8B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823">
        <w:rPr>
          <w:sz w:val="28"/>
          <w:szCs w:val="28"/>
        </w:rPr>
        <w:t xml:space="preserve">2026 год - </w:t>
      </w:r>
      <w:r w:rsidR="00792DB8" w:rsidRPr="00B43823">
        <w:rPr>
          <w:sz w:val="28"/>
          <w:szCs w:val="28"/>
        </w:rPr>
        <w:t>0,00 тыс. рублей</w:t>
      </w:r>
    </w:p>
    <w:p w:rsidR="00CD0533" w:rsidRPr="00B43823" w:rsidRDefault="00CD0533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823">
        <w:rPr>
          <w:sz w:val="28"/>
          <w:szCs w:val="28"/>
        </w:rPr>
        <w:t xml:space="preserve">2027 год - </w:t>
      </w:r>
      <w:r w:rsidR="00792DB8" w:rsidRPr="00B43823">
        <w:rPr>
          <w:sz w:val="28"/>
          <w:szCs w:val="28"/>
        </w:rPr>
        <w:t>0,00 тыс. рублей</w:t>
      </w:r>
    </w:p>
    <w:p w:rsidR="00A429D1" w:rsidRPr="00B43823" w:rsidRDefault="00A429D1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3823">
        <w:rPr>
          <w:sz w:val="28"/>
          <w:szCs w:val="28"/>
        </w:rPr>
        <w:t>202</w:t>
      </w:r>
      <w:r w:rsidR="00792DB8" w:rsidRPr="00B43823">
        <w:rPr>
          <w:sz w:val="28"/>
          <w:szCs w:val="28"/>
        </w:rPr>
        <w:t>8</w:t>
      </w:r>
      <w:r w:rsidRPr="00B43823">
        <w:rPr>
          <w:sz w:val="28"/>
          <w:szCs w:val="28"/>
        </w:rPr>
        <w:t xml:space="preserve"> год -0,0</w:t>
      </w:r>
      <w:r w:rsidR="00792DB8" w:rsidRPr="00B43823">
        <w:rPr>
          <w:sz w:val="28"/>
          <w:szCs w:val="28"/>
        </w:rPr>
        <w:t>0</w:t>
      </w:r>
      <w:r w:rsidRPr="00B43823">
        <w:rPr>
          <w:sz w:val="28"/>
          <w:szCs w:val="28"/>
        </w:rPr>
        <w:t xml:space="preserve"> тыс. рублей</w:t>
      </w:r>
    </w:p>
    <w:p w:rsidR="00733C83" w:rsidRPr="00B43823" w:rsidRDefault="00733C83" w:rsidP="00B438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3C83" w:rsidRPr="00B43823" w:rsidRDefault="00B43823" w:rsidP="00B438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11. </w:t>
      </w:r>
      <w:r w:rsidR="00733C83" w:rsidRPr="00B43823">
        <w:rPr>
          <w:rFonts w:ascii="Times New Roman" w:hAnsi="Times New Roman" w:cs="Times New Roman"/>
          <w:sz w:val="28"/>
          <w:szCs w:val="28"/>
        </w:rPr>
        <w:t xml:space="preserve">Обоснование объемов финансовых ресурсов,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="00733C83" w:rsidRPr="00B43823">
        <w:rPr>
          <w:rFonts w:ascii="Times New Roman" w:hAnsi="Times New Roman" w:cs="Times New Roman"/>
          <w:sz w:val="28"/>
          <w:szCs w:val="28"/>
        </w:rPr>
        <w:t>для реализации подпрограммы изложено в </w:t>
      </w:r>
      <w:hyperlink r:id="rId10" w:anchor="/document/405778971/entry/1104" w:history="1">
        <w:r w:rsidR="00733C83" w:rsidRPr="00B43823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="00733C83" w:rsidRPr="00B43823">
        <w:rPr>
          <w:rFonts w:ascii="Times New Roman" w:hAnsi="Times New Roman" w:cs="Times New Roman"/>
          <w:sz w:val="28"/>
          <w:szCs w:val="28"/>
        </w:rPr>
        <w:t> программы.</w:t>
      </w:r>
    </w:p>
    <w:p w:rsidR="00733C83" w:rsidRPr="00B43823" w:rsidRDefault="00733C83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33" w:rsidRPr="00B43823" w:rsidRDefault="00B43823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VI. 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рисков реализации подпрограммы и описание мер управления рисками реализации подпрограммы</w:t>
      </w:r>
    </w:p>
    <w:p w:rsidR="00BF2699" w:rsidRPr="00B43823" w:rsidRDefault="00BF2699" w:rsidP="00B43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C8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реализации настоящей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является минимизация указанных рисков, эффективный мониторинг выполнения, принятие оперативных мер </w:t>
      </w:r>
      <w:r w:rsidR="00AC6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корректировке приоритетных направлений и показателей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одпрограммы.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Риски реализации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можно разделить на две группы: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- относятся к сфере компетенции ответственного исполнителя </w:t>
      </w:r>
      <w:r w:rsidR="00A6144F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и </w:t>
      </w:r>
      <w:r w:rsidR="00A6144F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исполнителей мероприятий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одпрограммы,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внешние, наступление или не наступление которых, не зависит </w:t>
      </w:r>
      <w:r w:rsidR="00AC6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действий ответственного исполнителя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соисполнителей мероприятий подпрограммы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риски могут являться следствием:</w:t>
      </w:r>
    </w:p>
    <w:p w:rsidR="00CD0533" w:rsidRPr="00B43823" w:rsidRDefault="00B740C1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 w:rsidR="00AA78C6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</w:t>
      </w:r>
      <w:r w:rsidR="00AA78C6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несвоевременных разработ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согласования и принятия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="00AC6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обеспечивающих выполнение мероприятий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недостаточной оперативности при наступлении внешних рисков реализации </w:t>
      </w:r>
      <w:r w:rsidR="00BF2699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одпрограммы.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Мерами управления внутренними рисками являются:</w:t>
      </w:r>
    </w:p>
    <w:p w:rsidR="00CD0533" w:rsidRPr="00B43823" w:rsidRDefault="00B740C1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стабильное финансирование мероприятий и 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детальное планирование хода реализации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оперативный мониторинг выполнения мероприятий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одпрограммы, который выполняют ответственные исполнители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соисполнители 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своевременная актуализация ежегодных мероприятий реализации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одпрограммы, в том числе корректировка состава и сроков исполнения мероприятий с сохранением ожидаемых результатов.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риски могут являться следствием: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</w:t>
      </w:r>
      <w:r w:rsidR="002043FD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дефицита и недостаточным вследствие этого уровнем бюджетного финансирования мероприятий, предусмотренных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одпрограммой.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отсутствует возможность управления вышеуказанными рисками. Возможен лишь оперативный учет последствий </w:t>
      </w:r>
      <w:r w:rsidR="00AC6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проявления.</w:t>
      </w:r>
    </w:p>
    <w:p w:rsidR="00CD0533" w:rsidRPr="00B43823" w:rsidRDefault="002F6A22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646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61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bookmarkStart w:id="0" w:name="_GoBack"/>
      <w:bookmarkEnd w:id="0"/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управление риск</w:t>
      </w:r>
      <w:r w:rsidR="002043FD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 обеспечива</w:t>
      </w:r>
      <w:r w:rsidR="002043FD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D0533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в результате которых можно реализовать мероприятия, предусмотренные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одпрограммой на данный период;</w:t>
      </w:r>
    </w:p>
    <w:p w:rsidR="00CD0533" w:rsidRPr="00B43823" w:rsidRDefault="00CD0533" w:rsidP="00B4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учет всех факторов риска, влияющих на достижение цели </w:t>
      </w:r>
      <w:r w:rsidR="00B740C1"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одпрограммы;</w:t>
      </w:r>
    </w:p>
    <w:p w:rsidR="00AB025B" w:rsidRPr="00B43823" w:rsidRDefault="00CD0533" w:rsidP="00B43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учет факторов риска, их тщательный анализ и разумная политика по управлению ими.</w:t>
      </w:r>
    </w:p>
    <w:sectPr w:rsidR="00AB025B" w:rsidRPr="00B43823" w:rsidSect="00B438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196" w:rsidRDefault="00690196">
      <w:pPr>
        <w:spacing w:after="0" w:line="240" w:lineRule="auto"/>
      </w:pPr>
      <w:r>
        <w:separator/>
      </w:r>
    </w:p>
  </w:endnote>
  <w:endnote w:type="continuationSeparator" w:id="1">
    <w:p w:rsidR="00690196" w:rsidRDefault="0069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196" w:rsidRDefault="00690196">
      <w:pPr>
        <w:spacing w:after="0" w:line="240" w:lineRule="auto"/>
      </w:pPr>
      <w:r>
        <w:separator/>
      </w:r>
    </w:p>
  </w:footnote>
  <w:footnote w:type="continuationSeparator" w:id="1">
    <w:p w:rsidR="00690196" w:rsidRDefault="0069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23" w:rsidRDefault="00B438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B8B"/>
    <w:rsid w:val="00026E07"/>
    <w:rsid w:val="000D6FAA"/>
    <w:rsid w:val="000F0646"/>
    <w:rsid w:val="000F14FE"/>
    <w:rsid w:val="00104C40"/>
    <w:rsid w:val="00114D7F"/>
    <w:rsid w:val="00127D90"/>
    <w:rsid w:val="001B5325"/>
    <w:rsid w:val="002043FD"/>
    <w:rsid w:val="00207C3A"/>
    <w:rsid w:val="002265C9"/>
    <w:rsid w:val="002350E3"/>
    <w:rsid w:val="002733EA"/>
    <w:rsid w:val="002F6A22"/>
    <w:rsid w:val="00303C61"/>
    <w:rsid w:val="00372D91"/>
    <w:rsid w:val="00435A2D"/>
    <w:rsid w:val="00451685"/>
    <w:rsid w:val="004660A8"/>
    <w:rsid w:val="0049741A"/>
    <w:rsid w:val="00546F97"/>
    <w:rsid w:val="00564926"/>
    <w:rsid w:val="005A090C"/>
    <w:rsid w:val="00604E8F"/>
    <w:rsid w:val="00686B8B"/>
    <w:rsid w:val="00690196"/>
    <w:rsid w:val="00690579"/>
    <w:rsid w:val="006A210A"/>
    <w:rsid w:val="006C0F4E"/>
    <w:rsid w:val="007072A3"/>
    <w:rsid w:val="00707EB4"/>
    <w:rsid w:val="00712AA8"/>
    <w:rsid w:val="00724613"/>
    <w:rsid w:val="00733C83"/>
    <w:rsid w:val="007858DC"/>
    <w:rsid w:val="00792DB8"/>
    <w:rsid w:val="0079435F"/>
    <w:rsid w:val="007C317F"/>
    <w:rsid w:val="007D5996"/>
    <w:rsid w:val="007D5F81"/>
    <w:rsid w:val="00807DDA"/>
    <w:rsid w:val="00835E39"/>
    <w:rsid w:val="00886539"/>
    <w:rsid w:val="008E19D1"/>
    <w:rsid w:val="008E56CD"/>
    <w:rsid w:val="0091506C"/>
    <w:rsid w:val="00916930"/>
    <w:rsid w:val="00940D1C"/>
    <w:rsid w:val="00975831"/>
    <w:rsid w:val="00992E00"/>
    <w:rsid w:val="009E2FEF"/>
    <w:rsid w:val="009F794D"/>
    <w:rsid w:val="00A20074"/>
    <w:rsid w:val="00A429D1"/>
    <w:rsid w:val="00A6144F"/>
    <w:rsid w:val="00A96983"/>
    <w:rsid w:val="00AA78C6"/>
    <w:rsid w:val="00AB025B"/>
    <w:rsid w:val="00AC61B1"/>
    <w:rsid w:val="00B00469"/>
    <w:rsid w:val="00B16502"/>
    <w:rsid w:val="00B43823"/>
    <w:rsid w:val="00B740C1"/>
    <w:rsid w:val="00B86D6A"/>
    <w:rsid w:val="00B905B1"/>
    <w:rsid w:val="00BF2699"/>
    <w:rsid w:val="00C07E15"/>
    <w:rsid w:val="00C44763"/>
    <w:rsid w:val="00C6011A"/>
    <w:rsid w:val="00C953F0"/>
    <w:rsid w:val="00CB246E"/>
    <w:rsid w:val="00CB5EBA"/>
    <w:rsid w:val="00CC120C"/>
    <w:rsid w:val="00CD0533"/>
    <w:rsid w:val="00D17EB4"/>
    <w:rsid w:val="00D640E3"/>
    <w:rsid w:val="00D70351"/>
    <w:rsid w:val="00D7232B"/>
    <w:rsid w:val="00D84E61"/>
    <w:rsid w:val="00E14283"/>
    <w:rsid w:val="00E61640"/>
    <w:rsid w:val="00EA41C4"/>
    <w:rsid w:val="00EF2CB7"/>
    <w:rsid w:val="00F4157A"/>
    <w:rsid w:val="00F4496B"/>
    <w:rsid w:val="00F637A5"/>
    <w:rsid w:val="00F8276D"/>
    <w:rsid w:val="00FB2645"/>
    <w:rsid w:val="00FB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8B"/>
  </w:style>
  <w:style w:type="paragraph" w:styleId="2">
    <w:name w:val="heading 2"/>
    <w:basedOn w:val="a"/>
    <w:next w:val="a"/>
    <w:link w:val="20"/>
    <w:qFormat/>
    <w:rsid w:val="00F637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6B8B"/>
    <w:rPr>
      <w:color w:val="0000FF"/>
      <w:u w:val="single"/>
    </w:rPr>
  </w:style>
  <w:style w:type="paragraph" w:customStyle="1" w:styleId="s3">
    <w:name w:val="s_3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B8B"/>
  </w:style>
  <w:style w:type="paragraph" w:styleId="a6">
    <w:name w:val="footer"/>
    <w:basedOn w:val="a"/>
    <w:link w:val="a7"/>
    <w:uiPriority w:val="99"/>
    <w:unhideWhenUsed/>
    <w:rsid w:val="0068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B8B"/>
  </w:style>
  <w:style w:type="paragraph" w:customStyle="1" w:styleId="1">
    <w:name w:val="Без интервала1"/>
    <w:rsid w:val="00C44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53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637A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"/>
    <w:basedOn w:val="a"/>
    <w:link w:val="ab"/>
    <w:rsid w:val="00F637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63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F637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8B"/>
  </w:style>
  <w:style w:type="paragraph" w:styleId="2">
    <w:name w:val="heading 2"/>
    <w:basedOn w:val="a"/>
    <w:next w:val="a"/>
    <w:link w:val="20"/>
    <w:qFormat/>
    <w:rsid w:val="00F637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6B8B"/>
    <w:rPr>
      <w:color w:val="0000FF"/>
      <w:u w:val="single"/>
    </w:rPr>
  </w:style>
  <w:style w:type="paragraph" w:customStyle="1" w:styleId="s3">
    <w:name w:val="s_3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8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B8B"/>
  </w:style>
  <w:style w:type="paragraph" w:styleId="a6">
    <w:name w:val="footer"/>
    <w:basedOn w:val="a"/>
    <w:link w:val="a7"/>
    <w:uiPriority w:val="99"/>
    <w:unhideWhenUsed/>
    <w:rsid w:val="0068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B8B"/>
  </w:style>
  <w:style w:type="paragraph" w:customStyle="1" w:styleId="1">
    <w:name w:val="Без интервала1"/>
    <w:rsid w:val="00C447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53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637A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"/>
    <w:basedOn w:val="a"/>
    <w:link w:val="ab"/>
    <w:rsid w:val="00F637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63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F637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CAF3-0936-4740-954E-252A4FEF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2026-01-29T05:43:00Z</cp:lastPrinted>
  <dcterms:created xsi:type="dcterms:W3CDTF">2026-02-18T10:39:00Z</dcterms:created>
  <dcterms:modified xsi:type="dcterms:W3CDTF">2026-02-18T10:39:00Z</dcterms:modified>
</cp:coreProperties>
</file>